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4B83" w14:textId="77777777" w:rsidR="00EA6446" w:rsidRPr="006D4BAA" w:rsidRDefault="00EA6446" w:rsidP="00EA6446">
      <w:pPr>
        <w:spacing w:after="0" w:line="360" w:lineRule="auto"/>
        <w:jc w:val="center"/>
        <w:rPr>
          <w:rFonts w:ascii="Helvetica" w:hAnsi="Helvetica" w:cs="Times New Roman"/>
          <w:b/>
          <w:color w:val="C00000"/>
          <w:sz w:val="36"/>
          <w:szCs w:val="36"/>
        </w:rPr>
      </w:pPr>
      <w:r w:rsidRPr="006D4BAA">
        <w:rPr>
          <w:rFonts w:ascii="Helvetica" w:hAnsi="Helvetica" w:cs="Times New Roman"/>
          <w:b/>
          <w:color w:val="C00000"/>
          <w:sz w:val="36"/>
          <w:szCs w:val="36"/>
        </w:rPr>
        <w:t>CONFIDENTIALITY AGREEMENT</w:t>
      </w:r>
    </w:p>
    <w:p w14:paraId="6451DC98" w14:textId="4DA13D8E" w:rsidR="00EA6446" w:rsidRPr="006D4BAA" w:rsidRDefault="00DA480E" w:rsidP="00EA6446">
      <w:pPr>
        <w:spacing w:after="0" w:line="360" w:lineRule="auto"/>
        <w:jc w:val="center"/>
        <w:rPr>
          <w:rFonts w:ascii="Helvetica" w:hAnsi="Helvetica" w:cs="Times New Roman"/>
          <w:b/>
          <w:color w:val="C00000"/>
          <w:sz w:val="28"/>
        </w:rPr>
      </w:pPr>
      <w:r w:rsidRPr="006D4BAA">
        <w:rPr>
          <w:rFonts w:ascii="Helvetica" w:hAnsi="Helvetica" w:cs="Times New Roman"/>
          <w:b/>
          <w:color w:val="C00000"/>
          <w:sz w:val="28"/>
        </w:rPr>
        <w:t xml:space="preserve">CRCHD Mock Review, </w:t>
      </w:r>
      <w:r w:rsidR="00DA0A03" w:rsidRPr="006D4BAA">
        <w:rPr>
          <w:rFonts w:ascii="Helvetica" w:hAnsi="Helvetica" w:cs="Times New Roman"/>
          <w:b/>
          <w:color w:val="C00000"/>
          <w:sz w:val="28"/>
        </w:rPr>
        <w:t xml:space="preserve">July </w:t>
      </w:r>
      <w:r w:rsidR="006D4BAA" w:rsidRPr="006D4BAA">
        <w:rPr>
          <w:rFonts w:ascii="Helvetica" w:hAnsi="Helvetica" w:cs="Times New Roman"/>
          <w:b/>
          <w:color w:val="C00000"/>
          <w:sz w:val="28"/>
        </w:rPr>
        <w:t>20</w:t>
      </w:r>
      <w:r w:rsidR="00B0274B" w:rsidRPr="006D4BAA">
        <w:rPr>
          <w:rFonts w:ascii="Helvetica" w:hAnsi="Helvetica" w:cs="Times New Roman"/>
          <w:b/>
          <w:color w:val="C00000"/>
          <w:sz w:val="28"/>
        </w:rPr>
        <w:t>, 202</w:t>
      </w:r>
      <w:r w:rsidR="006D4BAA" w:rsidRPr="006D4BAA">
        <w:rPr>
          <w:rFonts w:ascii="Helvetica" w:hAnsi="Helvetica" w:cs="Times New Roman"/>
          <w:b/>
          <w:color w:val="C00000"/>
          <w:sz w:val="28"/>
        </w:rPr>
        <w:t>3</w:t>
      </w:r>
    </w:p>
    <w:p w14:paraId="3388A4BC" w14:textId="77777777" w:rsidR="00EA6446" w:rsidRPr="006D4BAA" w:rsidRDefault="00EA6446" w:rsidP="00EA6446">
      <w:pPr>
        <w:spacing w:after="0" w:line="360" w:lineRule="auto"/>
        <w:rPr>
          <w:rFonts w:ascii="Helvetica" w:hAnsi="Helvetica"/>
        </w:rPr>
      </w:pPr>
    </w:p>
    <w:p w14:paraId="23ACEAF1" w14:textId="77777777" w:rsidR="006D4BAA" w:rsidRPr="006D4BAA" w:rsidRDefault="006D4BAA" w:rsidP="006D4BAA">
      <w:pPr>
        <w:shd w:val="clear" w:color="auto" w:fill="FFFFFF"/>
        <w:spacing w:after="150" w:line="240" w:lineRule="auto"/>
        <w:rPr>
          <w:rFonts w:ascii="Helvetica" w:eastAsia="Times New Roman" w:hAnsi="Helvetica" w:cs="Times New Roman"/>
          <w:color w:val="333333"/>
          <w:sz w:val="20"/>
          <w:szCs w:val="20"/>
        </w:rPr>
      </w:pPr>
      <w:r w:rsidRPr="006D4BAA">
        <w:rPr>
          <w:rFonts w:ascii="Helvetica" w:eastAsia="Times New Roman" w:hAnsi="Helvetica" w:cs="Times New Roman"/>
          <w:color w:val="333333"/>
          <w:sz w:val="20"/>
          <w:szCs w:val="20"/>
        </w:rPr>
        <w:t>Maintaining security and confidentiality in the NIH peer review process is essential for safeguarding the exchange of scientific opinions and evaluations without fear of reprisal; protecting trade secrets or other proprietary, sensitive and/or confidential information; providing reliable input to the agency about research projects to support; and safeguarding the NIH research enterprise against the misappropriation of research and development to the detriment of national or economic security. In addition, maintaining integrity in the peer review process is important for maintaining public trust in science.</w:t>
      </w:r>
    </w:p>
    <w:p w14:paraId="24A9BC72" w14:textId="77777777" w:rsidR="006D4BAA" w:rsidRPr="006D4BAA" w:rsidRDefault="006D4BAA" w:rsidP="006D4BAA">
      <w:pPr>
        <w:pStyle w:val="heading4"/>
        <w:shd w:val="clear" w:color="auto" w:fill="FFFFFF"/>
        <w:spacing w:before="0" w:beforeAutospacing="0" w:after="150" w:afterAutospacing="0"/>
        <w:rPr>
          <w:rFonts w:ascii="Helvetica" w:hAnsi="Helvetica"/>
          <w:b/>
          <w:bCs/>
          <w:color w:val="333333"/>
          <w:sz w:val="29"/>
          <w:szCs w:val="29"/>
        </w:rPr>
      </w:pPr>
      <w:r w:rsidRPr="006D4BAA">
        <w:rPr>
          <w:rFonts w:ascii="Helvetica" w:hAnsi="Helvetica"/>
          <w:b/>
          <w:bCs/>
          <w:color w:val="333333"/>
          <w:sz w:val="29"/>
          <w:szCs w:val="29"/>
        </w:rPr>
        <w:t>Security of Government Computer Systems</w:t>
      </w:r>
    </w:p>
    <w:p w14:paraId="1EAF2168"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The NIH peer review process is conducted via secure online systems; NIH reviewers and NIH NAC members are provided access through login credentials supplied by the Designated Federal Officer (DFO) in charge of the review meeting. A DFO is a full-time or permanent part-time Federal officer or employee assigned to the committee to ensure compliance with the Federal Advisory Committee Act, 5 U.S.C. App. 2, and other applicable laws, regulations, and NIH policies. The DFO is often referred to as Scientific Review Officer (SRO) for initial peer review meetings or Executive Secretary (ES) for NAC meetings.</w:t>
      </w:r>
    </w:p>
    <w:p w14:paraId="3FA14AE7"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Consistent with the agency's responsibility to protect applications, information, and data related to NIH peer review contained in these systems (see the System of Records Notices </w:t>
      </w:r>
      <w:hyperlink r:id="rId5" w:history="1">
        <w:r w:rsidRPr="006D4BAA">
          <w:rPr>
            <w:rStyle w:val="Hyperlink"/>
            <w:rFonts w:ascii="Helvetica" w:hAnsi="Helvetica"/>
            <w:color w:val="428BCA"/>
            <w:sz w:val="20"/>
            <w:szCs w:val="20"/>
          </w:rPr>
          <w:t>09-25-0036</w:t>
        </w:r>
      </w:hyperlink>
      <w:r w:rsidRPr="006D4BAA">
        <w:rPr>
          <w:rFonts w:ascii="Helvetica" w:hAnsi="Helvetica"/>
          <w:color w:val="333333"/>
          <w:sz w:val="20"/>
          <w:szCs w:val="20"/>
        </w:rPr>
        <w:t> and </w:t>
      </w:r>
      <w:hyperlink r:id="rId6" w:history="1">
        <w:r w:rsidRPr="006D4BAA">
          <w:rPr>
            <w:rStyle w:val="Hyperlink"/>
            <w:rFonts w:ascii="Helvetica" w:hAnsi="Helvetica"/>
            <w:color w:val="428BCA"/>
            <w:sz w:val="20"/>
            <w:szCs w:val="20"/>
          </w:rPr>
          <w:t>09-25-0225</w:t>
        </w:r>
      </w:hyperlink>
      <w:r w:rsidRPr="006D4BAA">
        <w:rPr>
          <w:rFonts w:ascii="Helvetica" w:hAnsi="Helvetica"/>
          <w:color w:val="333333"/>
          <w:sz w:val="20"/>
          <w:szCs w:val="20"/>
        </w:rPr>
        <w:t>), the NIH provides this public Notice that the following activities are prohibited:</w:t>
      </w:r>
    </w:p>
    <w:p w14:paraId="29C35BA2" w14:textId="77777777" w:rsidR="006D4BAA" w:rsidRPr="006D4BAA" w:rsidRDefault="006D4BAA" w:rsidP="006D4BAA">
      <w:pPr>
        <w:pStyle w:val="normal0"/>
        <w:numPr>
          <w:ilvl w:val="0"/>
          <w:numId w:val="13"/>
        </w:numPr>
        <w:shd w:val="clear" w:color="auto" w:fill="FFFFFF"/>
        <w:rPr>
          <w:rFonts w:ascii="Helvetica" w:hAnsi="Helvetica"/>
          <w:color w:val="333333"/>
          <w:sz w:val="20"/>
          <w:szCs w:val="20"/>
        </w:rPr>
      </w:pPr>
      <w:r w:rsidRPr="006D4BAA">
        <w:rPr>
          <w:rFonts w:ascii="Helvetica" w:hAnsi="Helvetica"/>
          <w:color w:val="333333"/>
          <w:sz w:val="20"/>
          <w:szCs w:val="20"/>
        </w:rPr>
        <w:t xml:space="preserve">Accessing, or attempting to access, a secure government computer system used to support the NIH peer review process by any individual who has not been authorized by the NIH DFO in charge of that review meeting, or assisting such an individual gain access to a </w:t>
      </w:r>
      <w:proofErr w:type="gramStart"/>
      <w:r w:rsidRPr="006D4BAA">
        <w:rPr>
          <w:rFonts w:ascii="Helvetica" w:hAnsi="Helvetica"/>
          <w:color w:val="333333"/>
          <w:sz w:val="20"/>
          <w:szCs w:val="20"/>
        </w:rPr>
        <w:t>system;</w:t>
      </w:r>
      <w:proofErr w:type="gramEnd"/>
    </w:p>
    <w:p w14:paraId="469F15EA" w14:textId="77777777" w:rsidR="006D4BAA" w:rsidRPr="006D4BAA" w:rsidRDefault="006D4BAA" w:rsidP="006D4BAA">
      <w:pPr>
        <w:pStyle w:val="normal0"/>
        <w:numPr>
          <w:ilvl w:val="0"/>
          <w:numId w:val="14"/>
        </w:numPr>
        <w:shd w:val="clear" w:color="auto" w:fill="FFFFFF"/>
        <w:rPr>
          <w:rFonts w:ascii="Helvetica" w:hAnsi="Helvetica"/>
          <w:color w:val="333333"/>
          <w:sz w:val="20"/>
          <w:szCs w:val="20"/>
        </w:rPr>
      </w:pPr>
      <w:r w:rsidRPr="006D4BAA">
        <w:rPr>
          <w:rFonts w:ascii="Helvetica" w:hAnsi="Helvetica"/>
          <w:color w:val="333333"/>
          <w:sz w:val="20"/>
          <w:szCs w:val="20"/>
        </w:rPr>
        <w:t xml:space="preserve">Engaging in unauthorized or improper use of these systems, applications, data or information contained therein, including communicating, delivering, transmitting, or causing to be communicated, delivered, or transmitted, or attempts to communicate, deliver, transmit or cause to be communicated, delivered or transmitted to any person not entitled to receive such </w:t>
      </w:r>
      <w:proofErr w:type="gramStart"/>
      <w:r w:rsidRPr="006D4BAA">
        <w:rPr>
          <w:rFonts w:ascii="Helvetica" w:hAnsi="Helvetica"/>
          <w:color w:val="333333"/>
          <w:sz w:val="20"/>
          <w:szCs w:val="20"/>
        </w:rPr>
        <w:t>information;</w:t>
      </w:r>
      <w:proofErr w:type="gramEnd"/>
    </w:p>
    <w:p w14:paraId="60189776" w14:textId="77777777" w:rsidR="006D4BAA" w:rsidRPr="006D4BAA" w:rsidRDefault="006D4BAA" w:rsidP="006D4BAA">
      <w:pPr>
        <w:pStyle w:val="normal0"/>
        <w:numPr>
          <w:ilvl w:val="0"/>
          <w:numId w:val="15"/>
        </w:numPr>
        <w:shd w:val="clear" w:color="auto" w:fill="FFFFFF"/>
        <w:rPr>
          <w:rFonts w:ascii="Helvetica" w:hAnsi="Helvetica"/>
          <w:color w:val="333333"/>
          <w:sz w:val="20"/>
          <w:szCs w:val="20"/>
        </w:rPr>
      </w:pPr>
      <w:r w:rsidRPr="006D4BAA">
        <w:rPr>
          <w:rFonts w:ascii="Helvetica" w:hAnsi="Helvetica"/>
          <w:color w:val="333333"/>
          <w:sz w:val="20"/>
          <w:szCs w:val="20"/>
        </w:rPr>
        <w:t>Sharing or assisting in the sharing of government-issued login credentials and/or passwords with, or granting access to, any individual, organization, or other entity, in gaining access to a secure government computer system used to support the NIH peer review process.</w:t>
      </w:r>
    </w:p>
    <w:p w14:paraId="2A776176"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With issuance of this Notice, each NIH peer reviewer and NAC member must certify (see Appendix) their understanding of, and compliance with, these rules and consequences for violating them.</w:t>
      </w:r>
    </w:p>
    <w:p w14:paraId="40E2AC4E"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 xml:space="preserve">In addition, </w:t>
      </w:r>
      <w:proofErr w:type="gramStart"/>
      <w:r w:rsidRPr="006D4BAA">
        <w:rPr>
          <w:rFonts w:ascii="Helvetica" w:hAnsi="Helvetica"/>
          <w:color w:val="333333"/>
          <w:sz w:val="20"/>
          <w:szCs w:val="20"/>
        </w:rPr>
        <w:t>participants</w:t>
      </w:r>
      <w:proofErr w:type="gramEnd"/>
      <w:r w:rsidRPr="006D4BAA">
        <w:rPr>
          <w:rFonts w:ascii="Helvetica" w:hAnsi="Helvetica"/>
          <w:color w:val="333333"/>
          <w:sz w:val="20"/>
          <w:szCs w:val="20"/>
        </w:rPr>
        <w:t xml:space="preserve"> and stakeholders in NIH peer review (as defined above) are expected to report, in strict confidence, any known breach of security to the NIH DFO managing the review meeting.</w:t>
      </w:r>
    </w:p>
    <w:p w14:paraId="52F90E44" w14:textId="77777777" w:rsidR="006D4BAA" w:rsidRPr="006D4BAA" w:rsidRDefault="006D4BAA" w:rsidP="006D4BAA">
      <w:pPr>
        <w:pStyle w:val="heading4"/>
        <w:shd w:val="clear" w:color="auto" w:fill="FFFFFF"/>
        <w:spacing w:before="0" w:beforeAutospacing="0" w:after="150" w:afterAutospacing="0"/>
        <w:rPr>
          <w:rFonts w:ascii="Helvetica" w:hAnsi="Helvetica"/>
          <w:b/>
          <w:bCs/>
          <w:color w:val="333333"/>
          <w:sz w:val="29"/>
          <w:szCs w:val="29"/>
        </w:rPr>
      </w:pPr>
      <w:r w:rsidRPr="006D4BAA">
        <w:rPr>
          <w:rFonts w:ascii="Helvetica" w:hAnsi="Helvetica"/>
          <w:b/>
          <w:bCs/>
          <w:color w:val="333333"/>
          <w:sz w:val="29"/>
          <w:szCs w:val="29"/>
        </w:rPr>
        <w:t>Confidentiality of NIH Peer Review</w:t>
      </w:r>
    </w:p>
    <w:p w14:paraId="37A5300E"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Style w:val="Emphasis"/>
          <w:rFonts w:ascii="Helvetica" w:hAnsi="Helvetica"/>
          <w:color w:val="333333"/>
          <w:sz w:val="20"/>
          <w:szCs w:val="20"/>
        </w:rPr>
        <w:t>PD/PIs, Key Personnel, Officials of Applicant Organizations and Offerors, and Other Individuals Acting on Their Behalf</w:t>
      </w:r>
    </w:p>
    <w:p w14:paraId="57314B65"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The only acceptable channel for communication about the review of an NIH grant application after submission is through the DFO who is managing the Scientific Review Group (SRG) or NAC; the only acceptable channel for communication about an R&amp;D contract proposal is through the Contracting Officer (CO) in charge of the solicitation. Therefore, PD/PIs, Key Personnel, officials of applicant organizations and offerors, and other individuals acting on their behalf are prohibited from:</w:t>
      </w:r>
    </w:p>
    <w:p w14:paraId="19265861" w14:textId="77777777" w:rsidR="006D4BAA" w:rsidRPr="006D4BAA" w:rsidRDefault="006D4BAA" w:rsidP="006D4BAA">
      <w:pPr>
        <w:pStyle w:val="normal0"/>
        <w:numPr>
          <w:ilvl w:val="0"/>
          <w:numId w:val="16"/>
        </w:numPr>
        <w:shd w:val="clear" w:color="auto" w:fill="FFFFFF"/>
        <w:rPr>
          <w:rFonts w:ascii="Helvetica" w:hAnsi="Helvetica"/>
          <w:color w:val="333333"/>
          <w:sz w:val="20"/>
          <w:szCs w:val="20"/>
        </w:rPr>
      </w:pPr>
      <w:r w:rsidRPr="006D4BAA">
        <w:rPr>
          <w:rFonts w:ascii="Helvetica" w:hAnsi="Helvetica"/>
          <w:color w:val="333333"/>
          <w:sz w:val="20"/>
          <w:szCs w:val="20"/>
        </w:rPr>
        <w:lastRenderedPageBreak/>
        <w:t>Contacting a reviewer on the SRG, Technical Evaluation Panel (TEP), or NAC evaluating an application or proposal in which they, their employer, close relative, or professional associate plays a major professional role, in order to request or provide information or materials related to the review, to otherwise attempt to influence the outcome of the review or the reviewer(s), or to access information or materials related to the review by any other means until/unless provided directly to them through NIH-approved communication channels.</w:t>
      </w:r>
    </w:p>
    <w:p w14:paraId="6F195049" w14:textId="77777777" w:rsidR="006D4BAA" w:rsidRPr="006D4BAA" w:rsidRDefault="006D4BAA" w:rsidP="006D4BAA">
      <w:pPr>
        <w:pStyle w:val="normal0"/>
        <w:numPr>
          <w:ilvl w:val="0"/>
          <w:numId w:val="17"/>
        </w:numPr>
        <w:shd w:val="clear" w:color="auto" w:fill="FFFFFF"/>
        <w:rPr>
          <w:rFonts w:ascii="Helvetica" w:hAnsi="Helvetica"/>
          <w:color w:val="333333"/>
          <w:sz w:val="20"/>
          <w:szCs w:val="20"/>
        </w:rPr>
      </w:pPr>
      <w:r w:rsidRPr="006D4BAA">
        <w:rPr>
          <w:rFonts w:ascii="Helvetica" w:hAnsi="Helvetica"/>
          <w:color w:val="333333"/>
          <w:sz w:val="20"/>
          <w:szCs w:val="20"/>
        </w:rPr>
        <w:t>Sending information or data related to the project under review directly to a reviewer on the SRG, TEP, or NAC evaluating their application or proposal. The only acceptable processes for submitting post-submission materials for applications are outlined in the </w:t>
      </w:r>
      <w:hyperlink r:id="rId7" w:history="1">
        <w:r w:rsidRPr="006D4BAA">
          <w:rPr>
            <w:rStyle w:val="Hyperlink"/>
            <w:rFonts w:ascii="Helvetica" w:hAnsi="Helvetica"/>
            <w:color w:val="428BCA"/>
            <w:sz w:val="20"/>
            <w:szCs w:val="20"/>
          </w:rPr>
          <w:t>NIH Grants Policy Statement (section 2.3.7.7)</w:t>
        </w:r>
      </w:hyperlink>
      <w:r w:rsidRPr="006D4BAA">
        <w:rPr>
          <w:rFonts w:ascii="Helvetica" w:hAnsi="Helvetica"/>
          <w:color w:val="333333"/>
          <w:sz w:val="20"/>
          <w:szCs w:val="20"/>
        </w:rPr>
        <w:t>, as well as NIH Guide Notices </w:t>
      </w:r>
      <w:hyperlink r:id="rId8" w:history="1">
        <w:r w:rsidRPr="006D4BAA">
          <w:rPr>
            <w:rStyle w:val="Hyperlink"/>
            <w:rFonts w:ascii="Helvetica" w:hAnsi="Helvetica"/>
            <w:color w:val="428BCA"/>
            <w:sz w:val="20"/>
            <w:szCs w:val="20"/>
          </w:rPr>
          <w:t>NOT-OD-12-141</w:t>
        </w:r>
      </w:hyperlink>
      <w:r w:rsidRPr="006D4BAA">
        <w:rPr>
          <w:rFonts w:ascii="Helvetica" w:hAnsi="Helvetica"/>
          <w:color w:val="333333"/>
          <w:sz w:val="20"/>
          <w:szCs w:val="20"/>
        </w:rPr>
        <w:t>, </w:t>
      </w:r>
      <w:hyperlink r:id="rId9" w:history="1">
        <w:r w:rsidRPr="006D4BAA">
          <w:rPr>
            <w:rStyle w:val="Hyperlink"/>
            <w:rFonts w:ascii="Helvetica" w:hAnsi="Helvetica"/>
            <w:color w:val="428BCA"/>
            <w:sz w:val="20"/>
            <w:szCs w:val="20"/>
          </w:rPr>
          <w:t>NOT-OD-19-083</w:t>
        </w:r>
      </w:hyperlink>
      <w:r w:rsidRPr="006D4BAA">
        <w:rPr>
          <w:rFonts w:ascii="Helvetica" w:hAnsi="Helvetica"/>
          <w:color w:val="333333"/>
          <w:sz w:val="20"/>
          <w:szCs w:val="20"/>
        </w:rPr>
        <w:t>, and </w:t>
      </w:r>
      <w:hyperlink r:id="rId10" w:history="1">
        <w:r w:rsidRPr="006D4BAA">
          <w:rPr>
            <w:rStyle w:val="Hyperlink"/>
            <w:rFonts w:ascii="Helvetica" w:hAnsi="Helvetica"/>
            <w:color w:val="428BCA"/>
            <w:sz w:val="20"/>
            <w:szCs w:val="20"/>
          </w:rPr>
          <w:t>NOT-OD-20-061</w:t>
        </w:r>
      </w:hyperlink>
      <w:r w:rsidRPr="006D4BAA">
        <w:rPr>
          <w:rFonts w:ascii="Helvetica" w:hAnsi="Helvetica"/>
          <w:color w:val="333333"/>
          <w:sz w:val="20"/>
          <w:szCs w:val="20"/>
        </w:rPr>
        <w:t>.</w:t>
      </w:r>
    </w:p>
    <w:p w14:paraId="3929F290"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Participants and stakeholders (as defined above) who are contacted by an NIH peer reviewer, NAC member, or another individual acting on behalf of an NIH peer reviewer or NAC member, for purposes of obtaining or exchanging information outside of the channels described above, are expected to report the contact to the DFO in charge of the SRG or NAC, or the CO in charge of the solicitation.</w:t>
      </w:r>
    </w:p>
    <w:p w14:paraId="194B4379"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Style w:val="Emphasis"/>
          <w:rFonts w:ascii="Helvetica" w:hAnsi="Helvetica"/>
          <w:color w:val="333333"/>
          <w:sz w:val="20"/>
          <w:szCs w:val="20"/>
        </w:rPr>
        <w:t>NIH Peer Reviewers and NIH Advisory Council Members</w:t>
      </w:r>
    </w:p>
    <w:p w14:paraId="77684588"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Consistent with the NIH peer review regulations at </w:t>
      </w:r>
      <w:hyperlink r:id="rId11" w:tooltip="Link to Non-U.S. Government Site" w:history="1">
        <w:r w:rsidRPr="006D4BAA">
          <w:rPr>
            <w:rStyle w:val="Hyperlink"/>
            <w:rFonts w:ascii="Helvetica" w:hAnsi="Helvetica"/>
            <w:color w:val="428BCA"/>
            <w:sz w:val="20"/>
            <w:szCs w:val="20"/>
          </w:rPr>
          <w:t>42 CFR 52h.6</w:t>
        </w:r>
      </w:hyperlink>
      <w:r w:rsidRPr="006D4BAA">
        <w:rPr>
          <w:rFonts w:ascii="Helvetica" w:hAnsi="Helvetica"/>
          <w:color w:val="333333"/>
          <w:sz w:val="20"/>
          <w:szCs w:val="20"/>
        </w:rPr>
        <w:t>, NIH peer review meetings are closed to the public and most documents provided to reviewers are confidential. Therefore, NIH peer reviewers, NIH NAC members, and other individuals acting on their behalf must destroy, delete, and/or return the grant applications, R&amp;D contract proposals, and associated confidential information to the DFO in charge of the review meeting, and are prohibited from:</w:t>
      </w:r>
    </w:p>
    <w:p w14:paraId="764064AB" w14:textId="77777777" w:rsidR="006D4BAA" w:rsidRPr="006D4BAA" w:rsidRDefault="006D4BAA" w:rsidP="006D4BAA">
      <w:pPr>
        <w:pStyle w:val="normal0"/>
        <w:numPr>
          <w:ilvl w:val="0"/>
          <w:numId w:val="18"/>
        </w:numPr>
        <w:shd w:val="clear" w:color="auto" w:fill="FFFFFF"/>
        <w:rPr>
          <w:rFonts w:ascii="Helvetica" w:hAnsi="Helvetica"/>
          <w:color w:val="333333"/>
          <w:sz w:val="20"/>
          <w:szCs w:val="20"/>
        </w:rPr>
      </w:pPr>
      <w:r w:rsidRPr="006D4BAA">
        <w:rPr>
          <w:rFonts w:ascii="Helvetica" w:hAnsi="Helvetica"/>
          <w:color w:val="333333"/>
          <w:sz w:val="20"/>
          <w:szCs w:val="20"/>
        </w:rPr>
        <w:t xml:space="preserve">Accessing, or attempting to access, or attempting to gain access to, a closed session of an NIH SRG meeting, an NIH TEP, or an NIH NAC meeting either in person or remotely, unless access has been authorized by the DFO in charge of the </w:t>
      </w:r>
      <w:proofErr w:type="gramStart"/>
      <w:r w:rsidRPr="006D4BAA">
        <w:rPr>
          <w:rFonts w:ascii="Helvetica" w:hAnsi="Helvetica"/>
          <w:color w:val="333333"/>
          <w:sz w:val="20"/>
          <w:szCs w:val="20"/>
        </w:rPr>
        <w:t>meeting;</w:t>
      </w:r>
      <w:proofErr w:type="gramEnd"/>
    </w:p>
    <w:p w14:paraId="1F62F47A" w14:textId="77777777" w:rsidR="006D4BAA" w:rsidRPr="006D4BAA" w:rsidRDefault="006D4BAA" w:rsidP="006D4BAA">
      <w:pPr>
        <w:pStyle w:val="normal0"/>
        <w:numPr>
          <w:ilvl w:val="0"/>
          <w:numId w:val="19"/>
        </w:numPr>
        <w:shd w:val="clear" w:color="auto" w:fill="FFFFFF"/>
        <w:rPr>
          <w:rFonts w:ascii="Helvetica" w:hAnsi="Helvetica"/>
          <w:color w:val="333333"/>
          <w:sz w:val="20"/>
          <w:szCs w:val="20"/>
        </w:rPr>
      </w:pPr>
      <w:r w:rsidRPr="006D4BAA">
        <w:rPr>
          <w:rFonts w:ascii="Helvetica" w:hAnsi="Helvetica"/>
          <w:color w:val="333333"/>
          <w:sz w:val="20"/>
          <w:szCs w:val="20"/>
        </w:rPr>
        <w:t xml:space="preserve">Disclosing, transmitting, or discussing the grant applications, R&amp;D contract proposals, and associated confidential information with any other individual (including but not limited to colleagues, lab members, fellows, students, applicants, offerors or employees of an offeror), through any communication channel (including social media) except as authorized by the DFO or other designated NIH </w:t>
      </w:r>
      <w:proofErr w:type="gramStart"/>
      <w:r w:rsidRPr="006D4BAA">
        <w:rPr>
          <w:rFonts w:ascii="Helvetica" w:hAnsi="Helvetica"/>
          <w:color w:val="333333"/>
          <w:sz w:val="20"/>
          <w:szCs w:val="20"/>
        </w:rPr>
        <w:t>official;</w:t>
      </w:r>
      <w:proofErr w:type="gramEnd"/>
    </w:p>
    <w:p w14:paraId="3249A5A4" w14:textId="77777777" w:rsidR="006D4BAA" w:rsidRPr="006D4BAA" w:rsidRDefault="006D4BAA" w:rsidP="006D4BAA">
      <w:pPr>
        <w:pStyle w:val="normal0"/>
        <w:numPr>
          <w:ilvl w:val="0"/>
          <w:numId w:val="20"/>
        </w:numPr>
        <w:shd w:val="clear" w:color="auto" w:fill="FFFFFF"/>
        <w:rPr>
          <w:rFonts w:ascii="Helvetica" w:hAnsi="Helvetica"/>
          <w:color w:val="333333"/>
          <w:sz w:val="20"/>
          <w:szCs w:val="20"/>
        </w:rPr>
      </w:pPr>
      <w:r w:rsidRPr="006D4BAA">
        <w:rPr>
          <w:rFonts w:ascii="Helvetica" w:hAnsi="Helvetica"/>
          <w:color w:val="333333"/>
          <w:sz w:val="20"/>
          <w:szCs w:val="20"/>
        </w:rPr>
        <w:t>Disclosing, in any manner, information about the committee deliberations, discussions, evaluations, or documents to anyone (including but not limited to a colleague, lab member, fellow, student, applicant, offeror or employee of an offeror), through any communication channel (including social media), other than as authorized during the peer review meeting.</w:t>
      </w:r>
    </w:p>
    <w:p w14:paraId="4E645CB1" w14:textId="77777777" w:rsidR="006D4BAA" w:rsidRPr="006D4BAA" w:rsidRDefault="006D4BAA" w:rsidP="006D4BAA">
      <w:pPr>
        <w:pStyle w:val="normal0"/>
        <w:numPr>
          <w:ilvl w:val="0"/>
          <w:numId w:val="21"/>
        </w:numPr>
        <w:shd w:val="clear" w:color="auto" w:fill="FFFFFF"/>
        <w:rPr>
          <w:rFonts w:ascii="Helvetica" w:hAnsi="Helvetica"/>
          <w:color w:val="333333"/>
          <w:sz w:val="20"/>
          <w:szCs w:val="20"/>
        </w:rPr>
      </w:pPr>
      <w:r w:rsidRPr="006D4BAA">
        <w:rPr>
          <w:rFonts w:ascii="Helvetica" w:hAnsi="Helvetica"/>
          <w:color w:val="333333"/>
          <w:sz w:val="20"/>
          <w:szCs w:val="20"/>
        </w:rPr>
        <w:t>Disclosing, transmitting, or discussing confidential information pertaining to an application or proposal to/with another member who has declared or had had declared a real or apparent conflict of interest (consistent with the NIH peer review regulations at </w:t>
      </w:r>
      <w:hyperlink r:id="rId12" w:tooltip="Link to Non-U.S. Government Site" w:history="1">
        <w:r w:rsidRPr="006D4BAA">
          <w:rPr>
            <w:rStyle w:val="Hyperlink"/>
            <w:rFonts w:ascii="Helvetica" w:hAnsi="Helvetica"/>
            <w:color w:val="428BCA"/>
            <w:sz w:val="20"/>
            <w:szCs w:val="20"/>
          </w:rPr>
          <w:t>42 CFR 52h</w:t>
        </w:r>
      </w:hyperlink>
      <w:r w:rsidRPr="006D4BAA">
        <w:rPr>
          <w:rFonts w:ascii="Helvetica" w:hAnsi="Helvetica"/>
          <w:color w:val="333333"/>
          <w:sz w:val="20"/>
          <w:szCs w:val="20"/>
        </w:rPr>
        <w:t>) with that application or proposal;</w:t>
      </w:r>
    </w:p>
    <w:p w14:paraId="7B44E384" w14:textId="77777777" w:rsidR="006D4BAA" w:rsidRPr="006D4BAA" w:rsidRDefault="006D4BAA" w:rsidP="006D4BAA">
      <w:pPr>
        <w:pStyle w:val="normal0"/>
        <w:numPr>
          <w:ilvl w:val="0"/>
          <w:numId w:val="22"/>
        </w:numPr>
        <w:shd w:val="clear" w:color="auto" w:fill="FFFFFF"/>
        <w:rPr>
          <w:rFonts w:ascii="Helvetica" w:hAnsi="Helvetica"/>
          <w:color w:val="333333"/>
          <w:sz w:val="20"/>
          <w:szCs w:val="20"/>
        </w:rPr>
      </w:pPr>
      <w:r w:rsidRPr="006D4BAA">
        <w:rPr>
          <w:rFonts w:ascii="Helvetica" w:hAnsi="Helvetica"/>
          <w:color w:val="333333"/>
          <w:sz w:val="20"/>
          <w:szCs w:val="20"/>
        </w:rPr>
        <w:t xml:space="preserve">Recording or transcribing committee deliberations, discussions, evaluations, or </w:t>
      </w:r>
      <w:proofErr w:type="gramStart"/>
      <w:r w:rsidRPr="006D4BAA">
        <w:rPr>
          <w:rFonts w:ascii="Helvetica" w:hAnsi="Helvetica"/>
          <w:color w:val="333333"/>
          <w:sz w:val="20"/>
          <w:szCs w:val="20"/>
        </w:rPr>
        <w:t>documents;</w:t>
      </w:r>
      <w:proofErr w:type="gramEnd"/>
    </w:p>
    <w:p w14:paraId="1CD92A67" w14:textId="77777777" w:rsidR="006D4BAA" w:rsidRPr="006D4BAA" w:rsidRDefault="006D4BAA" w:rsidP="006D4BAA">
      <w:pPr>
        <w:pStyle w:val="normal0"/>
        <w:numPr>
          <w:ilvl w:val="0"/>
          <w:numId w:val="23"/>
        </w:numPr>
        <w:shd w:val="clear" w:color="auto" w:fill="FFFFFF"/>
        <w:rPr>
          <w:rFonts w:ascii="Helvetica" w:hAnsi="Helvetica"/>
          <w:color w:val="333333"/>
          <w:sz w:val="20"/>
          <w:szCs w:val="20"/>
        </w:rPr>
      </w:pPr>
      <w:r w:rsidRPr="006D4BAA">
        <w:rPr>
          <w:rFonts w:ascii="Helvetica" w:hAnsi="Helvetica"/>
          <w:color w:val="333333"/>
          <w:sz w:val="20"/>
          <w:szCs w:val="20"/>
        </w:rPr>
        <w:t>Using information contained in a grant application or R&amp;D contract proposal for personal benefit or making such information available for the personal benefit of any other individual, organization, or entity; and</w:t>
      </w:r>
    </w:p>
    <w:p w14:paraId="523C772D" w14:textId="77777777" w:rsidR="006D4BAA" w:rsidRPr="006D4BAA" w:rsidRDefault="006D4BAA" w:rsidP="006D4BAA">
      <w:pPr>
        <w:pStyle w:val="normal0"/>
        <w:numPr>
          <w:ilvl w:val="0"/>
          <w:numId w:val="24"/>
        </w:numPr>
        <w:shd w:val="clear" w:color="auto" w:fill="FFFFFF"/>
        <w:rPr>
          <w:rFonts w:ascii="Helvetica" w:hAnsi="Helvetica"/>
          <w:color w:val="333333"/>
          <w:sz w:val="20"/>
          <w:szCs w:val="20"/>
        </w:rPr>
      </w:pPr>
      <w:r w:rsidRPr="006D4BAA">
        <w:rPr>
          <w:rFonts w:ascii="Helvetica" w:hAnsi="Helvetica"/>
          <w:color w:val="333333"/>
          <w:sz w:val="20"/>
          <w:szCs w:val="20"/>
        </w:rPr>
        <w:t>Disclosing, transmitting, or discussing procurement information (i.e., contractor bid or proposal information or source selection information as defined in </w:t>
      </w:r>
      <w:hyperlink r:id="rId13" w:tooltip="Link to Non-U.S. Government Site" w:history="1">
        <w:r w:rsidRPr="006D4BAA">
          <w:rPr>
            <w:rStyle w:val="Hyperlink"/>
            <w:rFonts w:ascii="Helvetica" w:hAnsi="Helvetica"/>
            <w:color w:val="428BCA"/>
            <w:sz w:val="20"/>
            <w:szCs w:val="20"/>
          </w:rPr>
          <w:t>48 CFR 2.101</w:t>
        </w:r>
      </w:hyperlink>
      <w:r w:rsidRPr="006D4BAA">
        <w:rPr>
          <w:rFonts w:ascii="Helvetica" w:hAnsi="Helvetica"/>
          <w:color w:val="333333"/>
          <w:sz w:val="20"/>
          <w:szCs w:val="20"/>
        </w:rPr>
        <w:t>; </w:t>
      </w:r>
      <w:hyperlink r:id="rId14" w:anchor="FAR_3_401" w:history="1">
        <w:r w:rsidRPr="006D4BAA">
          <w:rPr>
            <w:rStyle w:val="Hyperlink"/>
            <w:rFonts w:ascii="Helvetica" w:hAnsi="Helvetica"/>
            <w:color w:val="428BCA"/>
            <w:sz w:val="20"/>
            <w:szCs w:val="20"/>
          </w:rPr>
          <w:t>3.104-1(a)</w:t>
        </w:r>
      </w:hyperlink>
      <w:r w:rsidRPr="006D4BAA">
        <w:rPr>
          <w:rFonts w:ascii="Helvetica" w:hAnsi="Helvetica"/>
          <w:color w:val="333333"/>
          <w:sz w:val="20"/>
          <w:szCs w:val="20"/>
        </w:rPr>
        <w:t> prior to the award of a contract (see </w:t>
      </w:r>
      <w:hyperlink r:id="rId15" w:tooltip="Link to Non-U.S. Government Site" w:history="1">
        <w:r w:rsidRPr="006D4BAA">
          <w:rPr>
            <w:rStyle w:val="Hyperlink"/>
            <w:rFonts w:ascii="Helvetica" w:hAnsi="Helvetica"/>
            <w:color w:val="428BCA"/>
            <w:sz w:val="20"/>
            <w:szCs w:val="20"/>
          </w:rPr>
          <w:t>48 CFR 3.104-3(a)</w:t>
        </w:r>
      </w:hyperlink>
      <w:r w:rsidRPr="006D4BAA">
        <w:rPr>
          <w:rFonts w:ascii="Helvetica" w:hAnsi="Helvetica"/>
          <w:color w:val="333333"/>
          <w:sz w:val="20"/>
          <w:szCs w:val="20"/>
        </w:rPr>
        <w:t>).</w:t>
      </w:r>
    </w:p>
    <w:p w14:paraId="74B4D74E" w14:textId="77777777" w:rsidR="006D4BAA" w:rsidRPr="006D4BAA" w:rsidRDefault="006D4BAA" w:rsidP="006D4BAA">
      <w:pPr>
        <w:pStyle w:val="heading4"/>
        <w:shd w:val="clear" w:color="auto" w:fill="FFFFFF"/>
        <w:spacing w:before="0" w:beforeAutospacing="0" w:after="150" w:afterAutospacing="0"/>
        <w:rPr>
          <w:rFonts w:ascii="Helvetica" w:hAnsi="Helvetica"/>
          <w:b/>
          <w:bCs/>
          <w:color w:val="333333"/>
          <w:sz w:val="29"/>
          <w:szCs w:val="29"/>
        </w:rPr>
      </w:pPr>
      <w:r w:rsidRPr="006D4BAA">
        <w:rPr>
          <w:rFonts w:ascii="Helvetica" w:hAnsi="Helvetica"/>
          <w:b/>
          <w:bCs/>
          <w:color w:val="333333"/>
          <w:sz w:val="29"/>
          <w:szCs w:val="29"/>
        </w:rPr>
        <w:lastRenderedPageBreak/>
        <w:t>Certifications</w:t>
      </w:r>
    </w:p>
    <w:p w14:paraId="58B4C2FF"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Each NIH peer reviewer must certify a Security, Confidentiality and Nondisclosure Agreement (see the Appendix) that they fully understand and will comply with the confidential nature of the review process. Members of NIH NACs must submit Confidential Financial Disclosure statements and certify similar Security, Confidentiality and Nondisclosure Agreements.</w:t>
      </w:r>
    </w:p>
    <w:p w14:paraId="29A98DA0"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Each reviewer/NAC member certifies the Security, Confidentiality and Nondisclosure Agreement "with the understanding that any materially false, fictitious, or fraudulent statement or representation may subject me to criminal, civil, or administrative penalties (</w:t>
      </w:r>
      <w:hyperlink r:id="rId16" w:history="1">
        <w:r w:rsidRPr="006D4BAA">
          <w:rPr>
            <w:rStyle w:val="Hyperlink"/>
            <w:rFonts w:ascii="Helvetica" w:hAnsi="Helvetica"/>
            <w:color w:val="428BCA"/>
            <w:sz w:val="20"/>
            <w:szCs w:val="20"/>
          </w:rPr>
          <w:t>18 USC §1001</w:t>
        </w:r>
      </w:hyperlink>
      <w:r w:rsidRPr="006D4BAA">
        <w:rPr>
          <w:rFonts w:ascii="Helvetica" w:hAnsi="Helvetica"/>
          <w:color w:val="333333"/>
          <w:sz w:val="20"/>
          <w:szCs w:val="20"/>
        </w:rPr>
        <w:t>)".</w:t>
      </w:r>
    </w:p>
    <w:p w14:paraId="68AAF68F"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hyperlink r:id="rId17" w:history="1">
        <w:r w:rsidRPr="006D4BAA">
          <w:rPr>
            <w:rStyle w:val="Hyperlink"/>
            <w:rFonts w:ascii="Helvetica" w:hAnsi="Helvetica"/>
            <w:color w:val="428BCA"/>
            <w:sz w:val="20"/>
            <w:szCs w:val="20"/>
          </w:rPr>
          <w:t>18 USC §1001</w:t>
        </w:r>
      </w:hyperlink>
      <w:r w:rsidRPr="006D4BAA">
        <w:rPr>
          <w:rFonts w:ascii="Helvetica" w:hAnsi="Helvetica"/>
          <w:color w:val="333333"/>
          <w:sz w:val="20"/>
          <w:szCs w:val="20"/>
        </w:rPr>
        <w:t> states:</w:t>
      </w:r>
    </w:p>
    <w:p w14:paraId="01C1B813"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"Except as otherwise provided in this section, whoever, in any matter within the jurisdiction of the executive, legislative, or judicial branch of the Government of the United States, knowingly and willfully-</w:t>
      </w:r>
    </w:p>
    <w:p w14:paraId="7FBF687F"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 xml:space="preserve">(1) falsifies, conceals, or covers up by any trick, scheme, or device a material </w:t>
      </w:r>
      <w:proofErr w:type="gramStart"/>
      <w:r w:rsidRPr="006D4BAA">
        <w:rPr>
          <w:rFonts w:ascii="Helvetica" w:hAnsi="Helvetica"/>
          <w:color w:val="333333"/>
          <w:sz w:val="20"/>
          <w:szCs w:val="20"/>
        </w:rPr>
        <w:t>fact;</w:t>
      </w:r>
      <w:proofErr w:type="gramEnd"/>
    </w:p>
    <w:p w14:paraId="6D18C7CC"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(2) makes any materially false, fictitious, or fraudulent statement or representation; or</w:t>
      </w:r>
    </w:p>
    <w:p w14:paraId="6AB5D105" w14:textId="7D26F932"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 xml:space="preserve">(3) makes or uses any false writing or document knowing the same to contain any materially false, fictitious, or fraudulent statement or </w:t>
      </w:r>
      <w:r w:rsidRPr="006D4BAA">
        <w:rPr>
          <w:rFonts w:ascii="Helvetica" w:hAnsi="Helvetica"/>
          <w:color w:val="333333"/>
          <w:sz w:val="20"/>
          <w:szCs w:val="20"/>
        </w:rPr>
        <w:t>entry.</w:t>
      </w:r>
    </w:p>
    <w:p w14:paraId="5C20AD04"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Shall be fined under this title, imprisoned not more than 5 years or, if the offense involves international or domestic terrorism (as defined in section 2332), imprisoned not more than 8 years or both."</w:t>
      </w:r>
    </w:p>
    <w:p w14:paraId="6C9A6A7C"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In addition, each reviewer is expected to notify the DFO who is managing the review of the relevant application or the CO in charge of the solicitation if they are contacted for purposes of obtaining or exchanging information outside of the channels described above or in attempts to influence the outcome of the review process.</w:t>
      </w:r>
    </w:p>
    <w:p w14:paraId="7AF416CC" w14:textId="77777777" w:rsidR="006D4BAA" w:rsidRPr="006D4BAA" w:rsidRDefault="006D4BAA" w:rsidP="006D4BAA">
      <w:pPr>
        <w:pStyle w:val="heading4"/>
        <w:shd w:val="clear" w:color="auto" w:fill="FFFFFF"/>
        <w:spacing w:before="0" w:beforeAutospacing="0" w:after="150" w:afterAutospacing="0"/>
        <w:rPr>
          <w:rFonts w:ascii="Helvetica" w:hAnsi="Helvetica"/>
          <w:b/>
          <w:bCs/>
          <w:color w:val="333333"/>
          <w:sz w:val="29"/>
          <w:szCs w:val="29"/>
        </w:rPr>
      </w:pPr>
      <w:r w:rsidRPr="006D4BAA">
        <w:rPr>
          <w:rFonts w:ascii="Helvetica" w:hAnsi="Helvetica"/>
          <w:b/>
          <w:bCs/>
          <w:color w:val="333333"/>
          <w:sz w:val="29"/>
          <w:szCs w:val="29"/>
        </w:rPr>
        <w:t>Possible Consequences</w:t>
      </w:r>
    </w:p>
    <w:p w14:paraId="011B84C7" w14:textId="77777777" w:rsidR="006D4BAA" w:rsidRPr="006D4BAA" w:rsidRDefault="006D4BAA" w:rsidP="006D4BAA">
      <w:pPr>
        <w:pStyle w:val="normal0"/>
        <w:shd w:val="clear" w:color="auto" w:fill="FFFFFF"/>
        <w:spacing w:before="0" w:beforeAutospacing="0" w:after="150" w:afterAutospacing="0"/>
        <w:rPr>
          <w:rFonts w:ascii="Helvetica" w:hAnsi="Helvetica"/>
          <w:color w:val="333333"/>
          <w:sz w:val="20"/>
          <w:szCs w:val="20"/>
        </w:rPr>
      </w:pPr>
      <w:r w:rsidRPr="006D4BAA">
        <w:rPr>
          <w:rFonts w:ascii="Helvetica" w:hAnsi="Helvetica"/>
          <w:color w:val="333333"/>
          <w:sz w:val="20"/>
          <w:szCs w:val="20"/>
        </w:rPr>
        <w:t>If the NIH determines that a situation involves a breach of integrity, including confidentiality or security, in the NIH peer review process, the NIH in coordination with other offices may take actions including, but not limited to:</w:t>
      </w:r>
    </w:p>
    <w:p w14:paraId="17C172BA" w14:textId="77777777" w:rsidR="006D4BAA" w:rsidRPr="006D4BAA" w:rsidRDefault="006D4BAA" w:rsidP="006D4BAA">
      <w:pPr>
        <w:pStyle w:val="normal0"/>
        <w:numPr>
          <w:ilvl w:val="0"/>
          <w:numId w:val="25"/>
        </w:numPr>
        <w:shd w:val="clear" w:color="auto" w:fill="FFFFFF"/>
        <w:rPr>
          <w:rFonts w:ascii="Helvetica" w:hAnsi="Helvetica"/>
          <w:color w:val="333333"/>
          <w:sz w:val="20"/>
          <w:szCs w:val="20"/>
        </w:rPr>
      </w:pPr>
      <w:r w:rsidRPr="006D4BAA">
        <w:rPr>
          <w:rFonts w:ascii="Helvetica" w:hAnsi="Helvetica"/>
          <w:color w:val="333333"/>
          <w:sz w:val="20"/>
          <w:szCs w:val="20"/>
        </w:rPr>
        <w:t>Notifying or requesting information from an individual's institution.</w:t>
      </w:r>
    </w:p>
    <w:p w14:paraId="735B1865" w14:textId="77777777" w:rsidR="006D4BAA" w:rsidRPr="006D4BAA" w:rsidRDefault="006D4BAA" w:rsidP="006D4BAA">
      <w:pPr>
        <w:pStyle w:val="normal0"/>
        <w:numPr>
          <w:ilvl w:val="0"/>
          <w:numId w:val="25"/>
        </w:numPr>
        <w:shd w:val="clear" w:color="auto" w:fill="FFFFFF"/>
        <w:rPr>
          <w:rFonts w:ascii="Helvetica" w:hAnsi="Helvetica"/>
          <w:color w:val="333333"/>
          <w:sz w:val="20"/>
          <w:szCs w:val="20"/>
        </w:rPr>
      </w:pPr>
      <w:r w:rsidRPr="006D4BAA">
        <w:rPr>
          <w:rFonts w:ascii="Helvetica" w:hAnsi="Helvetica"/>
          <w:color w:val="333333"/>
          <w:sz w:val="20"/>
          <w:szCs w:val="20"/>
        </w:rPr>
        <w:t>Terminating review service for a reviewer or NAC member.</w:t>
      </w:r>
    </w:p>
    <w:p w14:paraId="08C3C355" w14:textId="77777777" w:rsidR="006D4BAA" w:rsidRPr="006D4BAA" w:rsidRDefault="006D4BAA" w:rsidP="006D4BAA">
      <w:pPr>
        <w:pStyle w:val="normal0"/>
        <w:numPr>
          <w:ilvl w:val="0"/>
          <w:numId w:val="25"/>
        </w:numPr>
        <w:shd w:val="clear" w:color="auto" w:fill="FFFFFF"/>
        <w:rPr>
          <w:rFonts w:ascii="Helvetica" w:hAnsi="Helvetica"/>
          <w:color w:val="333333"/>
          <w:sz w:val="20"/>
          <w:szCs w:val="20"/>
        </w:rPr>
      </w:pPr>
      <w:r w:rsidRPr="006D4BAA">
        <w:rPr>
          <w:rFonts w:ascii="Helvetica" w:hAnsi="Helvetica"/>
          <w:color w:val="333333"/>
          <w:sz w:val="20"/>
          <w:szCs w:val="20"/>
        </w:rPr>
        <w:t>Deferring or withdrawing an application submitted by the individual's institution.</w:t>
      </w:r>
    </w:p>
    <w:p w14:paraId="59294DA6" w14:textId="77777777" w:rsidR="006D4BAA" w:rsidRPr="006D4BAA" w:rsidRDefault="006D4BAA" w:rsidP="006D4BAA">
      <w:pPr>
        <w:pStyle w:val="normal0"/>
        <w:numPr>
          <w:ilvl w:val="0"/>
          <w:numId w:val="25"/>
        </w:numPr>
        <w:shd w:val="clear" w:color="auto" w:fill="FFFFFF"/>
        <w:rPr>
          <w:rFonts w:ascii="Helvetica" w:hAnsi="Helvetica"/>
          <w:color w:val="333333"/>
          <w:sz w:val="20"/>
          <w:szCs w:val="20"/>
        </w:rPr>
      </w:pPr>
      <w:r w:rsidRPr="006D4BAA">
        <w:rPr>
          <w:rFonts w:ascii="Helvetica" w:hAnsi="Helvetica"/>
          <w:color w:val="333333"/>
          <w:sz w:val="20"/>
          <w:szCs w:val="20"/>
        </w:rPr>
        <w:t xml:space="preserve">Terminating grant, cooperative agreement, </w:t>
      </w:r>
      <w:proofErr w:type="gramStart"/>
      <w:r w:rsidRPr="006D4BAA">
        <w:rPr>
          <w:rFonts w:ascii="Helvetica" w:hAnsi="Helvetica"/>
          <w:color w:val="333333"/>
          <w:sz w:val="20"/>
          <w:szCs w:val="20"/>
        </w:rPr>
        <w:t>fellowship</w:t>
      </w:r>
      <w:proofErr w:type="gramEnd"/>
      <w:r w:rsidRPr="006D4BAA">
        <w:rPr>
          <w:rFonts w:ascii="Helvetica" w:hAnsi="Helvetica"/>
          <w:color w:val="333333"/>
          <w:sz w:val="20"/>
          <w:szCs w:val="20"/>
        </w:rPr>
        <w:t xml:space="preserve"> or R&amp;D contract awards to the individual's institution.</w:t>
      </w:r>
    </w:p>
    <w:p w14:paraId="2094B4DF" w14:textId="77777777" w:rsidR="006D4BAA" w:rsidRPr="006D4BAA" w:rsidRDefault="006D4BAA" w:rsidP="006D4BAA">
      <w:pPr>
        <w:pStyle w:val="normal0"/>
        <w:numPr>
          <w:ilvl w:val="0"/>
          <w:numId w:val="25"/>
        </w:numPr>
        <w:shd w:val="clear" w:color="auto" w:fill="FFFFFF"/>
        <w:rPr>
          <w:rFonts w:ascii="Helvetica" w:hAnsi="Helvetica"/>
          <w:color w:val="333333"/>
          <w:sz w:val="20"/>
          <w:szCs w:val="20"/>
        </w:rPr>
      </w:pPr>
      <w:r w:rsidRPr="006D4BAA">
        <w:rPr>
          <w:rFonts w:ascii="Helvetica" w:hAnsi="Helvetica"/>
          <w:color w:val="333333"/>
          <w:sz w:val="20"/>
          <w:szCs w:val="20"/>
        </w:rPr>
        <w:t>Notifying the NIH Office of Management Assessment (OMA) with possible referral to the U.S. Department of Health and Human Services Office of Inspector General (OIG) and the U.S. Department of Justice (DOJ) for further action, which may include pursuing criminal and civil penalties as allowable by law.</w:t>
      </w:r>
    </w:p>
    <w:p w14:paraId="03EB8125" w14:textId="77777777" w:rsidR="006D4BAA" w:rsidRPr="006D4BAA" w:rsidRDefault="006D4BAA" w:rsidP="006D4BAA">
      <w:pPr>
        <w:pStyle w:val="normal0"/>
        <w:numPr>
          <w:ilvl w:val="0"/>
          <w:numId w:val="25"/>
        </w:numPr>
        <w:shd w:val="clear" w:color="auto" w:fill="FFFFFF"/>
        <w:rPr>
          <w:rFonts w:ascii="Helvetica" w:hAnsi="Helvetica"/>
          <w:color w:val="333333"/>
          <w:sz w:val="20"/>
          <w:szCs w:val="20"/>
        </w:rPr>
      </w:pPr>
      <w:r w:rsidRPr="006D4BAA">
        <w:rPr>
          <w:rFonts w:ascii="Helvetica" w:hAnsi="Helvetica"/>
          <w:color w:val="333333"/>
          <w:sz w:val="20"/>
          <w:szCs w:val="20"/>
        </w:rPr>
        <w:t>Providing a referral for government-wide suspension or debarment.</w:t>
      </w:r>
    </w:p>
    <w:p w14:paraId="7CC60968" w14:textId="77777777" w:rsidR="006D4BAA" w:rsidRPr="006D4BAA" w:rsidRDefault="006D4BAA" w:rsidP="006D4BAA">
      <w:pPr>
        <w:pStyle w:val="normal0"/>
        <w:numPr>
          <w:ilvl w:val="0"/>
          <w:numId w:val="25"/>
        </w:numPr>
        <w:shd w:val="clear" w:color="auto" w:fill="FFFFFF"/>
        <w:rPr>
          <w:rFonts w:ascii="Helvetica" w:hAnsi="Helvetica"/>
          <w:color w:val="333333"/>
          <w:sz w:val="20"/>
          <w:szCs w:val="20"/>
        </w:rPr>
      </w:pPr>
      <w:r w:rsidRPr="006D4BAA">
        <w:rPr>
          <w:rFonts w:ascii="Helvetica" w:hAnsi="Helvetica"/>
          <w:color w:val="333333"/>
          <w:sz w:val="20"/>
          <w:szCs w:val="20"/>
        </w:rPr>
        <w:t>Notifying other, appropriate Federal agencies.</w:t>
      </w:r>
    </w:p>
    <w:p w14:paraId="444B161A" w14:textId="77777777" w:rsidR="0003468F" w:rsidRPr="006D4BAA" w:rsidRDefault="0003468F" w:rsidP="00AB1822">
      <w:pPr>
        <w:spacing w:after="0" w:line="240" w:lineRule="auto"/>
        <w:jc w:val="both"/>
        <w:rPr>
          <w:rFonts w:ascii="Helvetica" w:hAnsi="Helvetica"/>
          <w:sz w:val="20"/>
          <w:szCs w:val="20"/>
        </w:rPr>
      </w:pPr>
    </w:p>
    <w:p w14:paraId="4D84D456" w14:textId="11FA4B39" w:rsidR="00EA6446" w:rsidRPr="006D4BAA" w:rsidRDefault="006D4BAA" w:rsidP="006D4BAA">
      <w:pPr>
        <w:spacing w:after="0"/>
        <w:rPr>
          <w:rFonts w:ascii="Helvetica" w:hAnsi="Helvetica" w:cs="Times New Roman"/>
          <w:sz w:val="20"/>
          <w:szCs w:val="20"/>
        </w:rPr>
      </w:pPr>
      <w:r w:rsidRPr="006D4BAA">
        <w:rPr>
          <w:rFonts w:ascii="Helvetica" w:hAnsi="Helvetica" w:cs="Times New Roman"/>
          <w:sz w:val="20"/>
          <w:szCs w:val="20"/>
        </w:rPr>
        <w:t xml:space="preserve">I certify that I have read the information </w:t>
      </w:r>
      <w:r w:rsidRPr="006D4BAA">
        <w:rPr>
          <w:rFonts w:ascii="Helvetica" w:hAnsi="Helvetica" w:cs="Times New Roman"/>
          <w:sz w:val="20"/>
          <w:szCs w:val="20"/>
        </w:rPr>
        <w:t xml:space="preserve">described above regarding the confidentiality of the review and </w:t>
      </w:r>
      <w:r w:rsidRPr="006D4BAA">
        <w:rPr>
          <w:rFonts w:ascii="Helvetica" w:hAnsi="Helvetica" w:cs="Times New Roman"/>
          <w:sz w:val="20"/>
          <w:szCs w:val="20"/>
        </w:rPr>
        <w:t xml:space="preserve">I </w:t>
      </w:r>
      <w:r w:rsidRPr="006D4BAA">
        <w:rPr>
          <w:rFonts w:ascii="Helvetica" w:hAnsi="Helvetica" w:cs="Times New Roman"/>
          <w:sz w:val="20"/>
          <w:szCs w:val="20"/>
        </w:rPr>
        <w:t xml:space="preserve">understand the possible consequences breach of the review integrity and confidentiality or security. </w:t>
      </w:r>
    </w:p>
    <w:p w14:paraId="7BD2CAF8" w14:textId="77777777" w:rsidR="00CE6483" w:rsidRPr="006D4BAA" w:rsidRDefault="00CE6483" w:rsidP="00F3158E">
      <w:pPr>
        <w:pStyle w:val="BodyText"/>
        <w:tabs>
          <w:tab w:val="left" w:pos="858"/>
        </w:tabs>
        <w:kinsoku w:val="0"/>
        <w:overflowPunct w:val="0"/>
        <w:rPr>
          <w:rFonts w:ascii="Helvetica" w:eastAsiaTheme="minorHAnsi" w:hAnsi="Helvetica" w:cs="Times New Roman"/>
          <w:sz w:val="20"/>
          <w:szCs w:val="20"/>
        </w:rPr>
      </w:pPr>
    </w:p>
    <w:p w14:paraId="60C1833A" w14:textId="77777777" w:rsidR="00CE6483" w:rsidRPr="006D4BAA" w:rsidRDefault="00CE6483" w:rsidP="00F3158E">
      <w:pPr>
        <w:pStyle w:val="BodyText"/>
        <w:tabs>
          <w:tab w:val="left" w:pos="858"/>
        </w:tabs>
        <w:kinsoku w:val="0"/>
        <w:overflowPunct w:val="0"/>
        <w:rPr>
          <w:rFonts w:ascii="Helvetica" w:eastAsiaTheme="minorHAnsi" w:hAnsi="Helvetica" w:cs="Times New Roman"/>
          <w:sz w:val="20"/>
          <w:szCs w:val="20"/>
        </w:rPr>
      </w:pPr>
    </w:p>
    <w:p w14:paraId="7AD44114" w14:textId="77777777" w:rsidR="00CE6483" w:rsidRPr="006D4BAA" w:rsidRDefault="00CE6483" w:rsidP="00F3158E">
      <w:pPr>
        <w:pStyle w:val="BodyText"/>
        <w:tabs>
          <w:tab w:val="left" w:pos="858"/>
        </w:tabs>
        <w:kinsoku w:val="0"/>
        <w:overflowPunct w:val="0"/>
        <w:rPr>
          <w:rFonts w:ascii="Helvetica" w:eastAsiaTheme="minorHAnsi" w:hAnsi="Helvetica" w:cs="Times New Roman"/>
          <w:sz w:val="20"/>
          <w:szCs w:val="20"/>
        </w:rPr>
      </w:pPr>
    </w:p>
    <w:p w14:paraId="3BD18384" w14:textId="77777777" w:rsidR="00CE6483" w:rsidRPr="006D4BAA" w:rsidRDefault="00DA480E" w:rsidP="006D4BAA">
      <w:pPr>
        <w:pStyle w:val="BodyText"/>
        <w:tabs>
          <w:tab w:val="left" w:pos="858"/>
        </w:tabs>
        <w:kinsoku w:val="0"/>
        <w:overflowPunct w:val="0"/>
        <w:jc w:val="both"/>
        <w:rPr>
          <w:rFonts w:ascii="Helvetica" w:eastAsiaTheme="minorHAnsi" w:hAnsi="Helvetica" w:cs="Times New Roman"/>
          <w:sz w:val="20"/>
          <w:szCs w:val="20"/>
        </w:rPr>
      </w:pPr>
      <w:r w:rsidRPr="006D4BAA">
        <w:rPr>
          <w:rFonts w:ascii="Helvetica" w:eastAsiaTheme="minorHAnsi" w:hAnsi="Helvetica" w:cs="Times New Roman"/>
          <w:sz w:val="20"/>
          <w:szCs w:val="20"/>
        </w:rPr>
        <w:t>Name (Print)…………………………………………………</w:t>
      </w:r>
    </w:p>
    <w:p w14:paraId="6FAF447A" w14:textId="77777777" w:rsidR="00DA480E" w:rsidRPr="006D4BAA" w:rsidRDefault="00DA480E" w:rsidP="006D4BAA">
      <w:pPr>
        <w:pStyle w:val="BodyText"/>
        <w:tabs>
          <w:tab w:val="left" w:pos="858"/>
        </w:tabs>
        <w:kinsoku w:val="0"/>
        <w:overflowPunct w:val="0"/>
        <w:jc w:val="both"/>
        <w:rPr>
          <w:rFonts w:ascii="Helvetica" w:eastAsiaTheme="minorHAnsi" w:hAnsi="Helvetica" w:cs="Times New Roman"/>
          <w:sz w:val="20"/>
          <w:szCs w:val="20"/>
        </w:rPr>
      </w:pPr>
    </w:p>
    <w:p w14:paraId="31E3013F" w14:textId="77777777" w:rsidR="00DA480E" w:rsidRPr="006D4BAA" w:rsidRDefault="00DA480E" w:rsidP="006D4BAA">
      <w:pPr>
        <w:pStyle w:val="BodyText"/>
        <w:tabs>
          <w:tab w:val="left" w:pos="858"/>
        </w:tabs>
        <w:kinsoku w:val="0"/>
        <w:overflowPunct w:val="0"/>
        <w:jc w:val="both"/>
        <w:rPr>
          <w:rFonts w:ascii="Helvetica" w:eastAsiaTheme="minorHAnsi" w:hAnsi="Helvetica" w:cs="Times New Roman"/>
          <w:sz w:val="20"/>
          <w:szCs w:val="20"/>
        </w:rPr>
      </w:pPr>
      <w:r w:rsidRPr="006D4BAA">
        <w:rPr>
          <w:rFonts w:ascii="Helvetica" w:eastAsiaTheme="minorHAnsi" w:hAnsi="Helvetica" w:cs="Times New Roman"/>
          <w:sz w:val="20"/>
          <w:szCs w:val="20"/>
        </w:rPr>
        <w:t>Signature…………………………………………………….</w:t>
      </w:r>
    </w:p>
    <w:p w14:paraId="6CB38A5A" w14:textId="77777777" w:rsidR="00DA480E" w:rsidRPr="006D4BAA" w:rsidRDefault="00DA480E" w:rsidP="006D4BAA">
      <w:pPr>
        <w:pStyle w:val="BodyText"/>
        <w:tabs>
          <w:tab w:val="left" w:pos="858"/>
        </w:tabs>
        <w:kinsoku w:val="0"/>
        <w:overflowPunct w:val="0"/>
        <w:jc w:val="both"/>
        <w:rPr>
          <w:rFonts w:ascii="Helvetica" w:eastAsiaTheme="minorHAnsi" w:hAnsi="Helvetica" w:cs="Times New Roman"/>
          <w:sz w:val="20"/>
          <w:szCs w:val="20"/>
        </w:rPr>
      </w:pPr>
    </w:p>
    <w:p w14:paraId="3ECF8EF0" w14:textId="77777777" w:rsidR="00DA480E" w:rsidRPr="006D4BAA" w:rsidRDefault="00DA480E" w:rsidP="006D4BAA">
      <w:pPr>
        <w:pStyle w:val="BodyText"/>
        <w:tabs>
          <w:tab w:val="left" w:pos="858"/>
        </w:tabs>
        <w:kinsoku w:val="0"/>
        <w:overflowPunct w:val="0"/>
        <w:jc w:val="both"/>
        <w:rPr>
          <w:rFonts w:ascii="Helvetica" w:eastAsiaTheme="minorHAnsi" w:hAnsi="Helvetica" w:cs="Times New Roman"/>
          <w:sz w:val="20"/>
          <w:szCs w:val="20"/>
        </w:rPr>
      </w:pPr>
      <w:r w:rsidRPr="006D4BAA">
        <w:rPr>
          <w:rFonts w:ascii="Helvetica" w:eastAsiaTheme="minorHAnsi" w:hAnsi="Helvetica" w:cs="Times New Roman"/>
          <w:sz w:val="20"/>
          <w:szCs w:val="20"/>
        </w:rPr>
        <w:t>Date…………………………………………………………</w:t>
      </w:r>
    </w:p>
    <w:sectPr w:rsidR="00DA480E" w:rsidRPr="006D4BAA" w:rsidSect="006D4BA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252"/>
      </w:pPr>
      <w:rPr>
        <w:rFonts w:ascii="Arial" w:hAnsi="Arial" w:cs="Arial"/>
        <w:b w:val="0"/>
        <w:bCs w:val="0"/>
        <w:color w:val="6D6477"/>
        <w:spacing w:val="-11"/>
        <w:w w:val="174"/>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83335D"/>
    <w:multiLevelType w:val="multilevel"/>
    <w:tmpl w:val="769A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F0D2C"/>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5651"/>
    <w:multiLevelType w:val="multilevel"/>
    <w:tmpl w:val="4EB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D79F0"/>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193"/>
    <w:multiLevelType w:val="multilevel"/>
    <w:tmpl w:val="2BE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84A15"/>
    <w:multiLevelType w:val="multilevel"/>
    <w:tmpl w:val="820A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5276B"/>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552D"/>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364F"/>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0F1F"/>
    <w:multiLevelType w:val="multilevel"/>
    <w:tmpl w:val="B14E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85AF6"/>
    <w:multiLevelType w:val="multilevel"/>
    <w:tmpl w:val="00000885"/>
    <w:lvl w:ilvl="0">
      <w:start w:val="1"/>
      <w:numFmt w:val="decimal"/>
      <w:lvlText w:val="(%1)"/>
      <w:lvlJc w:val="left"/>
      <w:pPr>
        <w:ind w:hanging="252"/>
      </w:pPr>
      <w:rPr>
        <w:rFonts w:ascii="Arial" w:hAnsi="Arial" w:cs="Arial"/>
        <w:b w:val="0"/>
        <w:bCs w:val="0"/>
        <w:color w:val="6D6477"/>
        <w:spacing w:val="-11"/>
        <w:w w:val="174"/>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46711428"/>
    <w:multiLevelType w:val="multilevel"/>
    <w:tmpl w:val="DE64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83C92"/>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E28CF"/>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42979"/>
    <w:multiLevelType w:val="multilevel"/>
    <w:tmpl w:val="99CC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3433A"/>
    <w:multiLevelType w:val="multilevel"/>
    <w:tmpl w:val="71C2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50D20"/>
    <w:multiLevelType w:val="multilevel"/>
    <w:tmpl w:val="88F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F072A"/>
    <w:multiLevelType w:val="multilevel"/>
    <w:tmpl w:val="F09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C245F"/>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C237A"/>
    <w:multiLevelType w:val="multilevel"/>
    <w:tmpl w:val="00000885"/>
    <w:lvl w:ilvl="0">
      <w:start w:val="1"/>
      <w:numFmt w:val="decimal"/>
      <w:lvlText w:val="(%1)"/>
      <w:lvlJc w:val="left"/>
      <w:pPr>
        <w:ind w:hanging="252"/>
      </w:pPr>
      <w:rPr>
        <w:rFonts w:ascii="Arial" w:hAnsi="Arial" w:cs="Arial"/>
        <w:b w:val="0"/>
        <w:bCs w:val="0"/>
        <w:color w:val="6D6477"/>
        <w:spacing w:val="-11"/>
        <w:w w:val="174"/>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6DF114C1"/>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B44B8"/>
    <w:multiLevelType w:val="multilevel"/>
    <w:tmpl w:val="3746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9331E"/>
    <w:multiLevelType w:val="multilevel"/>
    <w:tmpl w:val="747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46EF5"/>
    <w:multiLevelType w:val="multilevel"/>
    <w:tmpl w:val="0C1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596838">
    <w:abstractNumId w:val="0"/>
  </w:num>
  <w:num w:numId="2" w16cid:durableId="183129344">
    <w:abstractNumId w:val="20"/>
  </w:num>
  <w:num w:numId="3" w16cid:durableId="1357732425">
    <w:abstractNumId w:val="11"/>
  </w:num>
  <w:num w:numId="4" w16cid:durableId="748770264">
    <w:abstractNumId w:val="14"/>
  </w:num>
  <w:num w:numId="5" w16cid:durableId="1306937122">
    <w:abstractNumId w:val="9"/>
  </w:num>
  <w:num w:numId="6" w16cid:durableId="2056154218">
    <w:abstractNumId w:val="7"/>
  </w:num>
  <w:num w:numId="7" w16cid:durableId="290943061">
    <w:abstractNumId w:val="13"/>
  </w:num>
  <w:num w:numId="8" w16cid:durableId="1278026030">
    <w:abstractNumId w:val="2"/>
  </w:num>
  <w:num w:numId="9" w16cid:durableId="1796168219">
    <w:abstractNumId w:val="8"/>
  </w:num>
  <w:num w:numId="10" w16cid:durableId="639959158">
    <w:abstractNumId w:val="4"/>
  </w:num>
  <w:num w:numId="11" w16cid:durableId="749161169">
    <w:abstractNumId w:val="21"/>
  </w:num>
  <w:num w:numId="12" w16cid:durableId="971253665">
    <w:abstractNumId w:val="19"/>
  </w:num>
  <w:num w:numId="13" w16cid:durableId="970937867">
    <w:abstractNumId w:val="6"/>
  </w:num>
  <w:num w:numId="14" w16cid:durableId="443110649">
    <w:abstractNumId w:val="5"/>
  </w:num>
  <w:num w:numId="15" w16cid:durableId="357633025">
    <w:abstractNumId w:val="17"/>
  </w:num>
  <w:num w:numId="16" w16cid:durableId="1105347890">
    <w:abstractNumId w:val="10"/>
  </w:num>
  <w:num w:numId="17" w16cid:durableId="1096945487">
    <w:abstractNumId w:val="24"/>
  </w:num>
  <w:num w:numId="18" w16cid:durableId="2141027750">
    <w:abstractNumId w:val="22"/>
  </w:num>
  <w:num w:numId="19" w16cid:durableId="757753754">
    <w:abstractNumId w:val="3"/>
  </w:num>
  <w:num w:numId="20" w16cid:durableId="1062675967">
    <w:abstractNumId w:val="23"/>
  </w:num>
  <w:num w:numId="21" w16cid:durableId="1670675537">
    <w:abstractNumId w:val="1"/>
  </w:num>
  <w:num w:numId="22" w16cid:durableId="315233872">
    <w:abstractNumId w:val="12"/>
  </w:num>
  <w:num w:numId="23" w16cid:durableId="782190468">
    <w:abstractNumId w:val="15"/>
  </w:num>
  <w:num w:numId="24" w16cid:durableId="1596741856">
    <w:abstractNumId w:val="18"/>
  </w:num>
  <w:num w:numId="25" w16cid:durableId="11370675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46"/>
    <w:rsid w:val="0003468F"/>
    <w:rsid w:val="00094A26"/>
    <w:rsid w:val="00307FD9"/>
    <w:rsid w:val="003F7FCA"/>
    <w:rsid w:val="00447B65"/>
    <w:rsid w:val="00560290"/>
    <w:rsid w:val="006018CE"/>
    <w:rsid w:val="006638DE"/>
    <w:rsid w:val="006D4BAA"/>
    <w:rsid w:val="007B3D54"/>
    <w:rsid w:val="008E5D06"/>
    <w:rsid w:val="00A7744D"/>
    <w:rsid w:val="00AB1822"/>
    <w:rsid w:val="00B0274B"/>
    <w:rsid w:val="00C5733C"/>
    <w:rsid w:val="00CE6483"/>
    <w:rsid w:val="00DA0A03"/>
    <w:rsid w:val="00DA480E"/>
    <w:rsid w:val="00E004AE"/>
    <w:rsid w:val="00EA6446"/>
    <w:rsid w:val="00EB4E51"/>
    <w:rsid w:val="00F3158E"/>
    <w:rsid w:val="00F34A3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1C27E"/>
  <w15:docId w15:val="{3F998469-A542-4E1B-A4E3-53E1BBA8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6446"/>
    <w:pPr>
      <w:widowControl w:val="0"/>
      <w:autoSpaceDE w:val="0"/>
      <w:autoSpaceDN w:val="0"/>
      <w:adjustRightInd w:val="0"/>
      <w:spacing w:after="0" w:line="240" w:lineRule="auto"/>
      <w:ind w:left="593"/>
    </w:pPr>
    <w:rPr>
      <w:rFonts w:ascii="Arial" w:eastAsiaTheme="minorEastAsia" w:hAnsi="Arial" w:cs="Arial"/>
      <w:sz w:val="14"/>
      <w:szCs w:val="14"/>
    </w:rPr>
  </w:style>
  <w:style w:type="character" w:customStyle="1" w:styleId="BodyTextChar">
    <w:name w:val="Body Text Char"/>
    <w:basedOn w:val="DefaultParagraphFont"/>
    <w:link w:val="BodyText"/>
    <w:uiPriority w:val="1"/>
    <w:rsid w:val="00EA6446"/>
    <w:rPr>
      <w:rFonts w:ascii="Arial" w:eastAsiaTheme="minorEastAsia" w:hAnsi="Arial" w:cs="Arial"/>
      <w:sz w:val="14"/>
      <w:szCs w:val="14"/>
    </w:rPr>
  </w:style>
  <w:style w:type="table" w:styleId="TableGrid">
    <w:name w:val="Table Grid"/>
    <w:basedOn w:val="TableNormal"/>
    <w:uiPriority w:val="59"/>
    <w:rsid w:val="00AB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8F"/>
    <w:rPr>
      <w:rFonts w:ascii="Tahoma" w:hAnsi="Tahoma" w:cs="Tahoma"/>
      <w:sz w:val="16"/>
      <w:szCs w:val="16"/>
    </w:rPr>
  </w:style>
  <w:style w:type="paragraph" w:customStyle="1" w:styleId="heading4">
    <w:name w:val="heading4"/>
    <w:basedOn w:val="Normal"/>
    <w:rsid w:val="006D4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6D4B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4BAA"/>
    <w:rPr>
      <w:color w:val="0000FF"/>
      <w:u w:val="single"/>
    </w:rPr>
  </w:style>
  <w:style w:type="character" w:styleId="Emphasis">
    <w:name w:val="Emphasis"/>
    <w:basedOn w:val="DefaultParagraphFont"/>
    <w:uiPriority w:val="20"/>
    <w:qFormat/>
    <w:rsid w:val="006D4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8701">
      <w:bodyDiv w:val="1"/>
      <w:marLeft w:val="0"/>
      <w:marRight w:val="0"/>
      <w:marTop w:val="0"/>
      <w:marBottom w:val="0"/>
      <w:divBdr>
        <w:top w:val="none" w:sz="0" w:space="0" w:color="auto"/>
        <w:left w:val="none" w:sz="0" w:space="0" w:color="auto"/>
        <w:bottom w:val="none" w:sz="0" w:space="0" w:color="auto"/>
        <w:right w:val="none" w:sz="0" w:space="0" w:color="auto"/>
      </w:divBdr>
    </w:div>
    <w:div w:id="418252074">
      <w:bodyDiv w:val="1"/>
      <w:marLeft w:val="0"/>
      <w:marRight w:val="0"/>
      <w:marTop w:val="0"/>
      <w:marBottom w:val="0"/>
      <w:divBdr>
        <w:top w:val="none" w:sz="0" w:space="0" w:color="auto"/>
        <w:left w:val="none" w:sz="0" w:space="0" w:color="auto"/>
        <w:bottom w:val="none" w:sz="0" w:space="0" w:color="auto"/>
        <w:right w:val="none" w:sz="0" w:space="0" w:color="auto"/>
      </w:divBdr>
    </w:div>
    <w:div w:id="505824517">
      <w:bodyDiv w:val="1"/>
      <w:marLeft w:val="0"/>
      <w:marRight w:val="0"/>
      <w:marTop w:val="0"/>
      <w:marBottom w:val="0"/>
      <w:divBdr>
        <w:top w:val="none" w:sz="0" w:space="0" w:color="auto"/>
        <w:left w:val="none" w:sz="0" w:space="0" w:color="auto"/>
        <w:bottom w:val="none" w:sz="0" w:space="0" w:color="auto"/>
        <w:right w:val="none" w:sz="0" w:space="0" w:color="auto"/>
      </w:divBdr>
    </w:div>
    <w:div w:id="781340466">
      <w:bodyDiv w:val="1"/>
      <w:marLeft w:val="0"/>
      <w:marRight w:val="0"/>
      <w:marTop w:val="0"/>
      <w:marBottom w:val="0"/>
      <w:divBdr>
        <w:top w:val="none" w:sz="0" w:space="0" w:color="auto"/>
        <w:left w:val="none" w:sz="0" w:space="0" w:color="auto"/>
        <w:bottom w:val="none" w:sz="0" w:space="0" w:color="auto"/>
        <w:right w:val="none" w:sz="0" w:space="0" w:color="auto"/>
      </w:divBdr>
    </w:div>
    <w:div w:id="1162500521">
      <w:bodyDiv w:val="1"/>
      <w:marLeft w:val="0"/>
      <w:marRight w:val="0"/>
      <w:marTop w:val="0"/>
      <w:marBottom w:val="0"/>
      <w:divBdr>
        <w:top w:val="none" w:sz="0" w:space="0" w:color="auto"/>
        <w:left w:val="none" w:sz="0" w:space="0" w:color="auto"/>
        <w:bottom w:val="none" w:sz="0" w:space="0" w:color="auto"/>
        <w:right w:val="none" w:sz="0" w:space="0" w:color="auto"/>
      </w:divBdr>
    </w:div>
    <w:div w:id="1185822848">
      <w:bodyDiv w:val="1"/>
      <w:marLeft w:val="0"/>
      <w:marRight w:val="0"/>
      <w:marTop w:val="0"/>
      <w:marBottom w:val="0"/>
      <w:divBdr>
        <w:top w:val="none" w:sz="0" w:space="0" w:color="auto"/>
        <w:left w:val="none" w:sz="0" w:space="0" w:color="auto"/>
        <w:bottom w:val="none" w:sz="0" w:space="0" w:color="auto"/>
        <w:right w:val="none" w:sz="0" w:space="0" w:color="auto"/>
      </w:divBdr>
    </w:div>
    <w:div w:id="1271620943">
      <w:bodyDiv w:val="1"/>
      <w:marLeft w:val="0"/>
      <w:marRight w:val="0"/>
      <w:marTop w:val="0"/>
      <w:marBottom w:val="0"/>
      <w:divBdr>
        <w:top w:val="none" w:sz="0" w:space="0" w:color="auto"/>
        <w:left w:val="none" w:sz="0" w:space="0" w:color="auto"/>
        <w:bottom w:val="none" w:sz="0" w:space="0" w:color="auto"/>
        <w:right w:val="none" w:sz="0" w:space="0" w:color="auto"/>
      </w:divBdr>
    </w:div>
    <w:div w:id="12775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2-141.html" TargetMode="External"/><Relationship Id="rId13" Type="http://schemas.openxmlformats.org/officeDocument/2006/relationships/hyperlink" Target="https://ecfr.io/Title-48/Section-2.101"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grants.nih.gov/grants/policy/nihgps/HTML5/section_2/2.3.7_policies_affecting_applications.htm" TargetMode="External"/><Relationship Id="rId12" Type="http://schemas.openxmlformats.org/officeDocument/2006/relationships/hyperlink" Target="https://ecfr.io/Title-42/Part-52h" TargetMode="External"/><Relationship Id="rId17" Type="http://schemas.openxmlformats.org/officeDocument/2006/relationships/hyperlink" Target="https://www.govinfo.gov/content/pkg/USCODE-2011-title18/pdf/USCODE-2011-title18-partI-chap47-sec1001.pdf" TargetMode="External"/><Relationship Id="rId2" Type="http://schemas.openxmlformats.org/officeDocument/2006/relationships/styles" Target="styles.xml"/><Relationship Id="rId16" Type="http://schemas.openxmlformats.org/officeDocument/2006/relationships/hyperlink" Target="https://www.govinfo.gov/content/pkg/USCODE-2011-title18/pdf/USCODE-2011-title18-partI-chap47-sec1001.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federalregister.gov/documents/2019/09/20/2019-20423/privacy-act-of-1974-system-of-records" TargetMode="External"/><Relationship Id="rId11" Type="http://schemas.openxmlformats.org/officeDocument/2006/relationships/hyperlink" Target="http://ecfr.io/Title-42/Part-52h" TargetMode="External"/><Relationship Id="rId5" Type="http://schemas.openxmlformats.org/officeDocument/2006/relationships/hyperlink" Target="https://www.federalregister.gov/documents/2002/09/26/02-23965/privacy-act-of-1974-annual-publication-of-systems-of-records" TargetMode="External"/><Relationship Id="rId15" Type="http://schemas.openxmlformats.org/officeDocument/2006/relationships/hyperlink" Target="https://ecfr.io/Title-48/Section-3.104-3" TargetMode="External"/><Relationship Id="rId10" Type="http://schemas.openxmlformats.org/officeDocument/2006/relationships/hyperlink" Target="https://grants.nih.gov/grants/guide/notice-files/NOT-OD-20-06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ants.nih.gov/grants/guide/notice-files/NOT-OD-19-083.html" TargetMode="External"/><Relationship Id="rId14" Type="http://schemas.openxmlformats.org/officeDocument/2006/relationships/hyperlink" Target="https://www.acquisition.gov/far/part-3"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56CC11039C74A8A32079C83E596A6" ma:contentTypeVersion="15" ma:contentTypeDescription="Create a new document." ma:contentTypeScope="" ma:versionID="54a4f425d674b172d5d380b262dd3732">
  <xsd:schema xmlns:xsd="http://www.w3.org/2001/XMLSchema" xmlns:xs="http://www.w3.org/2001/XMLSchema" xmlns:p="http://schemas.microsoft.com/office/2006/metadata/properties" xmlns:ns2="a5377307-0c7b-41be-82ca-5b8866178874" xmlns:ns3="a39aef28-b40f-47b6-b120-a93b3ee9bd1e" targetNamespace="http://schemas.microsoft.com/office/2006/metadata/properties" ma:root="true" ma:fieldsID="4bdbdb414e54cae90c612b44dcc2435f" ns2:_="" ns3:_="">
    <xsd:import namespace="a5377307-0c7b-41be-82ca-5b8866178874"/>
    <xsd:import namespace="a39aef28-b40f-47b6-b120-a93b3ee9b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77307-0c7b-41be-82ca-5b886617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43171b-1f1d-4d33-b41b-274b1daa2d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aef28-b40f-47b6-b120-a93b3ee9bd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04420b-0c28-4bc4-be14-d7b040c18a0a}" ma:internalName="TaxCatchAll" ma:showField="CatchAllData" ma:web="a39aef28-b40f-47b6-b120-a93b3ee9bd1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377307-0c7b-41be-82ca-5b8866178874">
      <Terms xmlns="http://schemas.microsoft.com/office/infopath/2007/PartnerControls"/>
    </lcf76f155ced4ddcb4097134ff3c332f>
    <TaxCatchAll xmlns="a39aef28-b40f-47b6-b120-a93b3ee9bd1e" xsi:nil="true"/>
  </documentManagement>
</p:properties>
</file>

<file path=customXml/itemProps1.xml><?xml version="1.0" encoding="utf-8"?>
<ds:datastoreItem xmlns:ds="http://schemas.openxmlformats.org/officeDocument/2006/customXml" ds:itemID="{87D948A6-D0A4-4B96-A7F9-5E14E3FC3055}"/>
</file>

<file path=customXml/itemProps2.xml><?xml version="1.0" encoding="utf-8"?>
<ds:datastoreItem xmlns:ds="http://schemas.openxmlformats.org/officeDocument/2006/customXml" ds:itemID="{89238172-4D7C-4A0B-9324-BAA5D580D0F2}"/>
</file>

<file path=customXml/itemProps3.xml><?xml version="1.0" encoding="utf-8"?>
<ds:datastoreItem xmlns:ds="http://schemas.openxmlformats.org/officeDocument/2006/customXml" ds:itemID="{1C26859C-D0B3-4922-8EC8-57D70F6FCB20}"/>
</file>

<file path=docProps/app.xml><?xml version="1.0" encoding="utf-8"?>
<Properties xmlns="http://schemas.openxmlformats.org/officeDocument/2006/extended-properties" xmlns:vt="http://schemas.openxmlformats.org/officeDocument/2006/docPropsVTypes">
  <Template>Normal</Template>
  <TotalTime>10</TotalTime>
  <Pages>3</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Davani, Behrous (NIH/NCI) [E]</dc:creator>
  <cp:lastModifiedBy>Vahedi, Shahrooz (NIH/NCI) [E]</cp:lastModifiedBy>
  <cp:revision>2</cp:revision>
  <cp:lastPrinted>2015-06-03T20:25:00Z</cp:lastPrinted>
  <dcterms:created xsi:type="dcterms:W3CDTF">2023-04-07T18:12:00Z</dcterms:created>
  <dcterms:modified xsi:type="dcterms:W3CDTF">2023-04-07T18:12:00Z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0x0101003E856CC11039C74A8A32079C83E596A6</vt:lpwstr>
  </property>
</Properties>
</file>